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PROTOKÓŁ Z KONSULTACJI PROJEKTU UCHWAŁY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„</w:t>
      </w:r>
      <w:r>
        <w:rPr>
          <w:b/>
          <w:bCs/>
          <w:sz w:val="28"/>
          <w:szCs w:val="28"/>
        </w:rPr>
        <w:t>PROGRAMU WSPÓŁPRACY GMINY JUTROSIN NA 2023 ROK Z ORGANIZACJAMI POZARZĄDOWYMI ORAZ PODMIOTAMI,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 KTÓRYCH MOWA W ART. 3 UST. 3 USTAWY Z DNIA 24 KWIETNIA  2003 ROKU O DZIAŁALNOŚCI POŻYTKU PUBLICZNEGO</w:t>
      </w:r>
    </w:p>
    <w:p>
      <w:pPr>
        <w:pStyle w:val="Normal"/>
        <w:jc w:val="center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I O WOLONTARIACIE</w:t>
      </w:r>
    </w:p>
    <w:p>
      <w:pPr>
        <w:pStyle w:val="Normal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jc w:val="both"/>
        <w:rPr/>
      </w:pPr>
      <w:r>
        <w:rPr/>
        <w:tab/>
        <w:t>Konsultacje przeprowadzono poprzez zamieszczenie projektu Uchwały Rady Miejskiej w Jutrosinie w sprawie: Programu Współpracy Gminy Jutrosin z organizacjami pozarządowymi oraz innymi podmiotami działającymi w sferze działalności pożytku publicznego na 2023 rok na stronie Biuletynu Informacji Publicznej Miasta i Gminy Jutrosin, stronie internetowej Miasta i Gminy Jutrosin oraz na tablicy ogłoszeń w Urzędzie Miasta i Gminy w Jutrosinie.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ab/>
        <w:t xml:space="preserve">Konsultacje przeprowadzono w terminie od </w:t>
      </w:r>
      <w:r>
        <w:rPr>
          <w:b/>
          <w:bCs/>
        </w:rPr>
        <w:t>22 września</w:t>
      </w:r>
      <w:r>
        <w:rPr>
          <w:rStyle w:val="Domylnaczcionkaakapitu"/>
          <w:b/>
          <w:bCs/>
        </w:rPr>
        <w:t xml:space="preserve"> 2022 roku</w:t>
      </w:r>
      <w:r>
        <w:rPr/>
        <w:t xml:space="preserve"> do </w:t>
      </w:r>
      <w:r>
        <w:rPr>
          <w:b/>
          <w:bCs/>
        </w:rPr>
        <w:t>10</w:t>
      </w:r>
      <w:r>
        <w:rPr>
          <w:rStyle w:val="Domylnaczcionkaakapitu"/>
          <w:b/>
          <w:bCs/>
        </w:rPr>
        <w:t xml:space="preserve"> października 2022</w:t>
      </w:r>
      <w:r>
        <w:rPr/>
        <w:t xml:space="preserve"> </w:t>
      </w:r>
      <w:r>
        <w:rPr>
          <w:rStyle w:val="Domylnaczcionkaakapitu"/>
          <w:b/>
          <w:bCs/>
        </w:rPr>
        <w:t>roku</w:t>
      </w:r>
      <w:r>
        <w:rPr/>
        <w:t xml:space="preserve"> na podstawie Uchwały Nr VII/38/2011 Rady Miejskiej w Jutrosinie z dnia 2 czerwca 2011 roku w sprawie: przyjęcia Regulaminu konsultowania z organizacjami pozarządowymi i podmiotami, o których mowa w art. 3 ust. 3 ustawy o działalności pożytku publicznego i o wolontariacie.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ab/>
        <w:t xml:space="preserve">Uwagi, sugestie, opinie należało zgłaszać na adres </w:t>
      </w:r>
      <w:hyperlink r:id="rId2" w:tgtFrame="_top">
        <w:r>
          <w:rPr>
            <w:rStyle w:val="Czeinternetowe"/>
          </w:rPr>
          <w:t>umig@jutrosin.eu</w:t>
        </w:r>
      </w:hyperlink>
      <w:r>
        <w:rPr>
          <w:rStyle w:val="Domylnaczcionkaakapitu"/>
          <w:color w:val="000000"/>
        </w:rPr>
        <w:t xml:space="preserve"> </w:t>
      </w:r>
      <w:r>
        <w:rPr/>
        <w:t>lub w formie pisemnej na adres Urzędu Miasta i Gminy w Jutrosinie.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ab/>
      </w:r>
      <w:r>
        <w:rPr>
          <w:b/>
          <w:bCs/>
          <w:u w:val="single"/>
        </w:rPr>
        <w:t>Wyniki konsultacji zawierających zestawienie zgłoszonych uwag wraz ze stanowiskiem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tbl>
      <w:tblPr>
        <w:tblW w:w="9643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407"/>
        <w:gridCol w:w="2411"/>
        <w:gridCol w:w="2608"/>
        <w:gridCol w:w="2216"/>
      </w:tblGrid>
      <w:tr>
        <w:trPr/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Podmiot zgłaszający</w:t>
            </w:r>
          </w:p>
        </w:tc>
        <w:tc>
          <w:tcPr>
            <w:tcW w:w="2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Część dokumentu, którego dotyczy uwaga</w:t>
            </w:r>
          </w:p>
        </w:tc>
        <w:tc>
          <w:tcPr>
            <w:tcW w:w="2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Treść uwagi</w:t>
            </w:r>
          </w:p>
        </w:tc>
        <w:tc>
          <w:tcPr>
            <w:tcW w:w="2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Informacja o przyjęciu/</w:t>
            </w:r>
          </w:p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odrzuceniu uwagi</w:t>
            </w:r>
          </w:p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2407" w:type="dxa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Stowarzyszenie Centrum Promocji      i Rozwoju Inicjatyw Obywatelskich PISOP z Leszna</w:t>
            </w: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  <w:i/>
                <w:i/>
                <w:iCs/>
              </w:rPr>
            </w:pPr>
            <w:r>
              <w:rPr>
                <w:b w:val="false"/>
                <w:bCs w:val="false"/>
                <w:i/>
                <w:iCs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  <w:i/>
                <w:i/>
                <w:iCs/>
              </w:rPr>
            </w:pPr>
            <w:r>
              <w:rPr>
                <w:b w:val="false"/>
                <w:bCs w:val="false"/>
                <w:i/>
                <w:iCs/>
              </w:rPr>
              <w:t>Zasady współpracy</w:t>
            </w:r>
          </w:p>
        </w:tc>
        <w:tc>
          <w:tcPr>
            <w:tcW w:w="26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1. Równość szans – określenie i uwzględnienie potrzeb grup, którym grozi wykluczenie społeczne.</w:t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2. Zrównoważonego rozwoju – podejmowanie działań, które przyczyniają się do wzrostu gospodarczego, zapewniają równomierny podział korzyści, ochronę zasobów naturalnych, środowiska i dziedzictwa kulturowego oraz rozwój społeczny.</w:t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2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 </w:t>
            </w:r>
            <w:r>
              <w:rPr>
                <w:b w:val="false"/>
                <w:bCs w:val="false"/>
              </w:rPr>
              <w:t>Uwagi zostały odrzucone.</w:t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Ustawa ściśle określa zasady współpracy, które nie przewidują zaproponowanych  rozwiązań.</w:t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  <w:tr>
        <w:trPr/>
        <w:tc>
          <w:tcPr>
            <w:tcW w:w="2407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  <w:i/>
                <w:i/>
                <w:iCs/>
              </w:rPr>
            </w:pPr>
            <w:r>
              <w:rPr>
                <w:b w:val="false"/>
                <w:bCs w:val="false"/>
                <w:i/>
                <w:iCs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  <w:i/>
                <w:i/>
                <w:iCs/>
              </w:rPr>
            </w:pPr>
            <w:r>
              <w:rPr>
                <w:b w:val="false"/>
                <w:bCs w:val="false"/>
                <w:i/>
                <w:iCs/>
              </w:rPr>
              <w:t>Formy współpracy</w:t>
            </w:r>
          </w:p>
        </w:tc>
        <w:tc>
          <w:tcPr>
            <w:tcW w:w="26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left"/>
              <w:rPr/>
            </w:pPr>
            <w:r>
              <w:rPr/>
              <w:t xml:space="preserve"> </w:t>
            </w:r>
          </w:p>
          <w:p>
            <w:pPr>
              <w:pStyle w:val="Zawartotabeli"/>
              <w:widowControl w:val="false"/>
              <w:jc w:val="left"/>
              <w:rPr/>
            </w:pPr>
            <w:r>
              <w:rPr/>
              <w:t>1. Tworzenie i funkcjonowanie ciał konsultacyjno-doradczych i inicjatywno-doradczych.</w:t>
            </w:r>
          </w:p>
          <w:p>
            <w:pPr>
              <w:pStyle w:val="Zawartotabeli"/>
              <w:widowControl w:val="false"/>
              <w:jc w:val="left"/>
              <w:rPr/>
            </w:pPr>
            <w:r>
              <w:rPr/>
              <w:t>2. Obejmowanie patronatem Burmistrza przedsięwzięć podejmowanych przez organizacje pozarządowe.</w:t>
            </w:r>
          </w:p>
          <w:p>
            <w:pPr>
              <w:pStyle w:val="Zawartotabeli"/>
              <w:widowControl w:val="false"/>
              <w:jc w:val="left"/>
              <w:rPr/>
            </w:pPr>
            <w:r>
              <w:rPr/>
            </w:r>
          </w:p>
          <w:p>
            <w:pPr>
              <w:pStyle w:val="Zawartotabeli"/>
              <w:widowControl w:val="false"/>
              <w:jc w:val="left"/>
              <w:rPr/>
            </w:pPr>
            <w:r>
              <w:rPr/>
              <w:t>3. Zawiązywanie partnerstw publiczno-społecznych.</w:t>
            </w:r>
          </w:p>
          <w:p>
            <w:pPr>
              <w:pStyle w:val="Zawartotabeli"/>
              <w:widowControl w:val="false"/>
              <w:jc w:val="left"/>
              <w:rPr/>
            </w:pPr>
            <w:r>
              <w:rPr/>
            </w:r>
          </w:p>
          <w:p>
            <w:pPr>
              <w:pStyle w:val="Zawartotabeli"/>
              <w:widowControl w:val="false"/>
              <w:jc w:val="left"/>
              <w:rPr/>
            </w:pPr>
            <w:r>
              <w:rPr/>
              <w:t>4. Promocja idei wpłat 1% podatku na rzecz organizacji pożytku publicznego działających na terenie gminy lub na rzecz jej mieszkańców.</w:t>
            </w:r>
          </w:p>
          <w:p>
            <w:pPr>
              <w:pStyle w:val="Zawartotabeli"/>
              <w:widowControl w:val="false"/>
              <w:jc w:val="left"/>
              <w:rPr/>
            </w:pPr>
            <w:r>
              <w:rPr/>
            </w:r>
          </w:p>
          <w:p>
            <w:pPr>
              <w:pStyle w:val="Zawartotabeli"/>
              <w:widowControl w:val="false"/>
              <w:jc w:val="left"/>
              <w:rPr/>
            </w:pPr>
            <w:r>
              <w:rPr/>
              <w:t>5. Zakup usług.</w:t>
            </w:r>
          </w:p>
          <w:p>
            <w:pPr>
              <w:pStyle w:val="Zawartotabeli"/>
              <w:widowControl w:val="false"/>
              <w:jc w:val="left"/>
              <w:rPr/>
            </w:pPr>
            <w:r>
              <w:rPr/>
            </w:r>
          </w:p>
          <w:p>
            <w:pPr>
              <w:pStyle w:val="Zawartotabeli"/>
              <w:widowControl w:val="false"/>
              <w:jc w:val="left"/>
              <w:rPr/>
            </w:pPr>
            <w:r>
              <w:rPr/>
              <w:t>6. Analiza sytuacji organizacji pozarządowych.</w:t>
            </w:r>
          </w:p>
          <w:p>
            <w:pPr>
              <w:pStyle w:val="Zawartotabeli"/>
              <w:widowControl w:val="false"/>
              <w:jc w:val="left"/>
              <w:rPr/>
            </w:pPr>
            <w:r>
              <w:rPr/>
            </w:r>
          </w:p>
          <w:p>
            <w:pPr>
              <w:pStyle w:val="Zawartotabeli"/>
              <w:widowControl w:val="false"/>
              <w:jc w:val="left"/>
              <w:rPr/>
            </w:pPr>
            <w:r>
              <w:rPr/>
              <w:t>7. Wzmacnianie organizacji pozarządowych jako pracodawców.</w:t>
            </w:r>
          </w:p>
          <w:p>
            <w:pPr>
              <w:pStyle w:val="Zawartotabeli"/>
              <w:widowControl w:val="false"/>
              <w:jc w:val="left"/>
              <w:rPr/>
            </w:pPr>
            <w:r>
              <w:rPr/>
            </w:r>
          </w:p>
        </w:tc>
        <w:tc>
          <w:tcPr>
            <w:tcW w:w="2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  <w:t>Uwagi zostały przyjęte w części.</w:t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  <w:color w:val="000000"/>
              </w:rPr>
            </w:pPr>
            <w:r>
              <w:rPr>
                <w:b w:val="false"/>
                <w:bCs w:val="false"/>
                <w:color w:val="000000"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W programie współpracy zostały uwzględnione </w:t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2 spośród przedstawionych propozycji, tj.</w:t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 </w:t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- obejmowanie patronatem Burmistrza przedsięwzięć podejmowanych przez organizacje pozarządowe;</w:t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 </w:t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 </w:t>
            </w:r>
            <w:r>
              <w:rPr>
                <w:b w:val="false"/>
                <w:bCs w:val="false"/>
              </w:rPr>
              <w:t xml:space="preserve">- promocja idei wpłat 1% podatku na rzecz organizacji pożytku publicznego działających na terenie gminy, </w:t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które można zakwalifikować do form współpracy o charakterze pozafinansowym.</w:t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  <w:tr>
        <w:trPr/>
        <w:tc>
          <w:tcPr>
            <w:tcW w:w="2407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  <w:i/>
                <w:i/>
                <w:iCs/>
              </w:rPr>
            </w:pPr>
            <w:r>
              <w:rPr>
                <w:b w:val="false"/>
                <w:bCs w:val="false"/>
                <w:i/>
                <w:iCs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  <w:i/>
                <w:i/>
                <w:iCs/>
              </w:rPr>
            </w:pPr>
            <w:r>
              <w:rPr>
                <w:b w:val="false"/>
                <w:bCs w:val="false"/>
                <w:i/>
                <w:iCs/>
              </w:rPr>
              <w:t>Priorytetowe zadania publiczne</w:t>
            </w:r>
          </w:p>
        </w:tc>
        <w:tc>
          <w:tcPr>
            <w:tcW w:w="26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left"/>
              <w:rPr/>
            </w:pPr>
            <w:r>
              <w:rPr/>
            </w:r>
          </w:p>
          <w:p>
            <w:pPr>
              <w:pStyle w:val="Normal"/>
              <w:widowControl w:val="false"/>
              <w:jc w:val="left"/>
              <w:rPr/>
            </w:pPr>
            <w:r>
              <w:rPr/>
              <w:t>1. Pomocy ofiarom katastrof, klęsk żywiołowych, konfliktów zbrojnych i wojen w kraju i za granicą.</w:t>
            </w:r>
          </w:p>
          <w:p>
            <w:pPr>
              <w:pStyle w:val="Zawartotabeli"/>
              <w:widowControl w:val="false"/>
              <w:jc w:val="left"/>
              <w:rPr/>
            </w:pPr>
            <w:r>
              <w:rPr/>
            </w:r>
          </w:p>
          <w:p>
            <w:pPr>
              <w:pStyle w:val="Zawartotabeli"/>
              <w:widowControl w:val="false"/>
              <w:jc w:val="left"/>
              <w:rPr>
                <w:b/>
                <w:b/>
                <w:bCs/>
              </w:rPr>
            </w:pPr>
            <w:r>
              <w:rPr>
                <w:b w:val="false"/>
                <w:bCs w:val="false"/>
              </w:rPr>
              <w:t>2. Działalności na rzecz podmiotów ekonomii społecznej i przedsiębiorstw społecznych, o których mowa w ustawie z dnia 5 sierpnia 2022 roku o ekonomii społecznej.</w:t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2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Uwagi zostały odrzucone.</w:t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Ze względu na ograniczone możliwości finansowe budżetu </w:t>
            </w:r>
            <w:r>
              <w:rPr>
                <w:b w:val="false"/>
                <w:bCs w:val="false"/>
              </w:rPr>
              <w:t>G</w:t>
            </w:r>
            <w:r>
              <w:rPr>
                <w:b w:val="false"/>
                <w:bCs w:val="false"/>
              </w:rPr>
              <w:t xml:space="preserve">miny nie wprowadza się nowych zadań do Programu Współpracy Gminy Jutrosin </w:t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na rok 2023.</w:t>
            </w:r>
          </w:p>
        </w:tc>
      </w:tr>
      <w:tr>
        <w:trPr/>
        <w:tc>
          <w:tcPr>
            <w:tcW w:w="2407" w:type="dxa"/>
            <w:vMerge w:val="continue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241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  <w:i/>
                <w:i/>
                <w:iCs/>
              </w:rPr>
            </w:pPr>
            <w:r>
              <w:rPr>
                <w:b w:val="false"/>
                <w:bCs w:val="false"/>
                <w:i/>
                <w:iCs/>
              </w:rPr>
              <w:t>Inne propozycje</w:t>
            </w:r>
          </w:p>
          <w:p>
            <w:pPr>
              <w:pStyle w:val="Zawartotabeli"/>
              <w:widowControl w:val="false"/>
              <w:jc w:val="center"/>
              <w:rPr>
                <w:b/>
                <w:b/>
                <w:bCs/>
                <w:i/>
                <w:i/>
                <w:iCs/>
              </w:rPr>
            </w:pPr>
            <w:r>
              <w:rPr>
                <w:b/>
                <w:bCs/>
                <w:i/>
                <w:iCs/>
              </w:rPr>
            </w:r>
          </w:p>
        </w:tc>
        <w:tc>
          <w:tcPr>
            <w:tcW w:w="26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1. W rozdziale 10 punkt 6 zmiany: komisje konkursowe działają odpłatnie.</w:t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left"/>
              <w:rPr/>
            </w:pPr>
            <w:r>
              <w:rPr/>
              <w:t>2. Ww. stowarzyszenie zwróciło również uwagę na dysproporcję pomiędzy środkami finansowymi zaplanowanymi w ramach zadania z zakresu wspierania i upowszechniania kultury fizycznej, a 5 pozostałymi zadaniami.</w:t>
            </w:r>
          </w:p>
          <w:p>
            <w:pPr>
              <w:pStyle w:val="Zawartotabeli"/>
              <w:widowControl w:val="false"/>
              <w:jc w:val="left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22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Uwagi zostały odrzucone.</w:t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 xml:space="preserve">Ze względu na ograniczone możliwości finansowe budżetu </w:t>
            </w:r>
            <w:r>
              <w:rPr>
                <w:b w:val="false"/>
                <w:bCs w:val="false"/>
              </w:rPr>
              <w:t>G</w:t>
            </w:r>
            <w:r>
              <w:rPr>
                <w:b w:val="false"/>
                <w:bCs w:val="false"/>
              </w:rPr>
              <w:t>miny, nie przewiduje się wprowadzania odpłatności za udział w pracach komisji konkursowej.</w:t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Zawartotabeli"/>
              <w:widowControl w:val="false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  <w:t>Przy podziale środków finansowych na poszczególne zadania uwzględnia się przede wszystkim lokalne uwarunkowania          i potrzeby tutejszej społeczności.</w:t>
            </w:r>
          </w:p>
        </w:tc>
      </w:tr>
    </w:tbl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rPr/>
      </w:pPr>
      <w:r>
        <w:rPr/>
        <w:t>Protokół sporządzono dnia 24.10.2022r.</w:t>
        <w:tab/>
      </w:r>
    </w:p>
    <w:p>
      <w:pPr>
        <w:pStyle w:val="Normal"/>
        <w:rPr/>
      </w:pPr>
      <w:r>
        <w:rPr/>
        <w:t>/-/ Katarzyna Zuziak</w:t>
        <w:tab/>
        <w:tab/>
        <w:tab/>
        <w:t xml:space="preserve">           </w:t>
      </w:r>
    </w:p>
    <w:sectPr>
      <w:type w:val="nextPage"/>
      <w:pgSz w:w="11906" w:h="16838"/>
      <w:pgMar w:left="1134" w:right="1134" w:gutter="0" w:header="0" w:top="851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kern w:val="2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 w:val="false"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  <w:textAlignment w:val="baseline"/>
    </w:pPr>
    <w:rPr>
      <w:rFonts w:ascii="Times New Roman" w:hAnsi="Times New Roman" w:eastAsia="Lucida Sans Unicode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character" w:styleId="Domylnaczcionkaakapitu">
    <w:name w:val="Domyślna czcionka akapitu"/>
    <w:qFormat/>
    <w:rPr/>
  </w:style>
  <w:style w:type="character" w:styleId="Czeinternetowe">
    <w:name w:val="Łącze internetowe"/>
    <w:rPr>
      <w:color w:val="000080"/>
      <w:u w:val="single"/>
    </w:rPr>
  </w:style>
  <w:style w:type="character" w:styleId="TekstdymkaZnak">
    <w:name w:val="Tekst dymka Znak"/>
    <w:basedOn w:val="Domylnaczcionkaakapitu"/>
    <w:qFormat/>
    <w:rPr>
      <w:rFonts w:ascii="Segoe UI" w:hAnsi="Segoe UI"/>
      <w:sz w:val="18"/>
      <w:szCs w:val="16"/>
    </w:rPr>
  </w:style>
  <w:style w:type="character" w:styleId="WWCharLFO1LVL1">
    <w:name w:val="WW_CharLFO1LVL1"/>
    <w:qFormat/>
    <w:rPr>
      <w:rFonts w:ascii="Symbol" w:hAnsi="Symbol"/>
    </w:rPr>
  </w:style>
  <w:style w:type="character" w:styleId="WWCharLFO1LVL2">
    <w:name w:val="WW_CharLFO1LVL2"/>
    <w:qFormat/>
    <w:rPr>
      <w:rFonts w:ascii="Courier New" w:hAnsi="Courier New" w:cs="Courier New"/>
    </w:rPr>
  </w:style>
  <w:style w:type="character" w:styleId="WWCharLFO1LVL3">
    <w:name w:val="WW_CharLFO1LVL3"/>
    <w:qFormat/>
    <w:rPr>
      <w:rFonts w:ascii="Wingdings" w:hAnsi="Wingdings"/>
    </w:rPr>
  </w:style>
  <w:style w:type="character" w:styleId="WWCharLFO1LVL4">
    <w:name w:val="WW_CharLFO1LVL4"/>
    <w:qFormat/>
    <w:rPr>
      <w:rFonts w:ascii="Symbol" w:hAnsi="Symbol"/>
    </w:rPr>
  </w:style>
  <w:style w:type="character" w:styleId="WWCharLFO1LVL5">
    <w:name w:val="WW_CharLFO1LVL5"/>
    <w:qFormat/>
    <w:rPr>
      <w:rFonts w:ascii="Courier New" w:hAnsi="Courier New" w:cs="Courier New"/>
    </w:rPr>
  </w:style>
  <w:style w:type="character" w:styleId="WWCharLFO1LVL6">
    <w:name w:val="WW_CharLFO1LVL6"/>
    <w:qFormat/>
    <w:rPr>
      <w:rFonts w:ascii="Wingdings" w:hAnsi="Wingdings"/>
    </w:rPr>
  </w:style>
  <w:style w:type="character" w:styleId="WWCharLFO1LVL7">
    <w:name w:val="WW_CharLFO1LVL7"/>
    <w:qFormat/>
    <w:rPr>
      <w:rFonts w:ascii="Symbol" w:hAnsi="Symbol"/>
    </w:rPr>
  </w:style>
  <w:style w:type="character" w:styleId="WWCharLFO1LVL8">
    <w:name w:val="WW_CharLFO1LVL8"/>
    <w:qFormat/>
    <w:rPr>
      <w:rFonts w:ascii="Courier New" w:hAnsi="Courier New" w:cs="Courier New"/>
    </w:rPr>
  </w:style>
  <w:style w:type="character" w:styleId="WWCharLFO1LVL9">
    <w:name w:val="WW_CharLFO1LVL9"/>
    <w:qFormat/>
    <w:rPr>
      <w:rFonts w:ascii="Wingdings" w:hAnsi="Wingdings"/>
    </w:rPr>
  </w:style>
  <w:style w:type="character" w:styleId="WWCharLFO2LVL1">
    <w:name w:val="WW_CharLFO2LVL1"/>
    <w:qFormat/>
    <w:rPr>
      <w:rFonts w:ascii="Symbol" w:hAnsi="Symbol"/>
    </w:rPr>
  </w:style>
  <w:style w:type="character" w:styleId="WWCharLFO2LVL2">
    <w:name w:val="WW_CharLFO2LVL2"/>
    <w:qFormat/>
    <w:rPr>
      <w:rFonts w:ascii="Courier New" w:hAnsi="Courier New" w:cs="Courier New"/>
    </w:rPr>
  </w:style>
  <w:style w:type="character" w:styleId="WWCharLFO2LVL3">
    <w:name w:val="WW_CharLFO2LVL3"/>
    <w:qFormat/>
    <w:rPr>
      <w:rFonts w:ascii="Wingdings" w:hAnsi="Wingdings"/>
    </w:rPr>
  </w:style>
  <w:style w:type="character" w:styleId="WWCharLFO2LVL4">
    <w:name w:val="WW_CharLFO2LVL4"/>
    <w:qFormat/>
    <w:rPr>
      <w:rFonts w:ascii="Symbol" w:hAnsi="Symbol"/>
    </w:rPr>
  </w:style>
  <w:style w:type="character" w:styleId="WWCharLFO2LVL5">
    <w:name w:val="WW_CharLFO2LVL5"/>
    <w:qFormat/>
    <w:rPr>
      <w:rFonts w:ascii="Courier New" w:hAnsi="Courier New" w:cs="Courier New"/>
    </w:rPr>
  </w:style>
  <w:style w:type="character" w:styleId="WWCharLFO2LVL6">
    <w:name w:val="WW_CharLFO2LVL6"/>
    <w:qFormat/>
    <w:rPr>
      <w:rFonts w:ascii="Wingdings" w:hAnsi="Wingdings"/>
    </w:rPr>
  </w:style>
  <w:style w:type="character" w:styleId="WWCharLFO2LVL7">
    <w:name w:val="WW_CharLFO2LVL7"/>
    <w:qFormat/>
    <w:rPr>
      <w:rFonts w:ascii="Symbol" w:hAnsi="Symbol"/>
    </w:rPr>
  </w:style>
  <w:style w:type="character" w:styleId="WWCharLFO2LVL8">
    <w:name w:val="WW_CharLFO2LVL8"/>
    <w:qFormat/>
    <w:rPr>
      <w:rFonts w:ascii="Courier New" w:hAnsi="Courier New" w:cs="Courier New"/>
    </w:rPr>
  </w:style>
  <w:style w:type="character" w:styleId="WWCharLFO2LVL9">
    <w:name w:val="WW_CharLFO2LVL9"/>
    <w:qFormat/>
    <w:rPr>
      <w:rFonts w:ascii="Wingdings" w:hAnsi="Wingdings"/>
    </w:rPr>
  </w:style>
  <w:style w:type="paragraph" w:styleId="Nagwek">
    <w:name w:val="Nagłówek"/>
    <w:basedOn w:val="Normal"/>
    <w:next w:val="Tretekstu"/>
    <w:qFormat/>
    <w:pPr>
      <w:keepNext w:val="true"/>
      <w:suppressAutoHyphens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uppressAutoHyphens w:val="true"/>
      <w:spacing w:before="0" w:after="120"/>
    </w:pPr>
    <w:rPr/>
  </w:style>
  <w:style w:type="paragraph" w:styleId="Lista">
    <w:name w:val="List"/>
    <w:basedOn w:val="Tretekstu"/>
    <w:pPr>
      <w:suppressAutoHyphens w:val="true"/>
    </w:pPr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  <w:suppressAutoHyphens w:val="true"/>
    </w:pPr>
    <w:rPr/>
  </w:style>
  <w:style w:type="paragraph" w:styleId="Normalny">
    <w:name w:val="Normalny"/>
    <w:qFormat/>
    <w:pPr>
      <w:keepNext w:val="false"/>
      <w:keepLines w:val="false"/>
      <w:pageBreakBefore w:val="false"/>
      <w:widowControl w:val="false"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  <w:textAlignment w:val="baseline"/>
    </w:pPr>
    <w:rPr>
      <w:rFonts w:ascii="Times New Roman" w:hAnsi="Times New Roman" w:eastAsia="Lucida Sans Unicode" w:cs="Mang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l-PL" w:eastAsia="zh-CN" w:bidi="hi-IN"/>
    </w:rPr>
  </w:style>
  <w:style w:type="paragraph" w:styleId="Legenda">
    <w:name w:val="Legenda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Tekstdymka">
    <w:name w:val="Tekst dymka"/>
    <w:basedOn w:val="Normalny"/>
    <w:qFormat/>
    <w:pPr>
      <w:suppressAutoHyphens w:val="true"/>
    </w:pPr>
    <w:rPr>
      <w:rFonts w:ascii="Segoe UI" w:hAnsi="Segoe UI"/>
      <w:sz w:val="18"/>
      <w:szCs w:val="16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umig@jutrosin.e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164</TotalTime>
  <Application>LibreOffice/7.2.4.1$Windows_X86_64 LibreOffice_project/27d75539669ac387bb498e35313b970b7fe9c4f9</Application>
  <AppVersion>15.0000</AppVersion>
  <Pages>3</Pages>
  <Words>512</Words>
  <Characters>3448</Characters>
  <CharactersWithSpaces>3959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2018-10-05T10:40:00Z</dcterms:created>
  <dc:creator>User</dc:creator>
  <dc:description/>
  <dc:language>pl-PL</dc:language>
  <cp:lastModifiedBy/>
  <cp:lastPrinted>2022-10-24T11:18:52Z</cp:lastPrinted>
  <dcterms:modified xsi:type="dcterms:W3CDTF">2022-10-24T12:06:16Z</dcterms:modified>
  <cp:revision>44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